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108" w:rsidRPr="00162108" w:rsidRDefault="00162108" w:rsidP="00162108">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162108">
        <w:rPr>
          <w:rFonts w:ascii="Helvetica" w:eastAsia="Times New Roman" w:hAnsi="Helvetica" w:cs="Helvetica"/>
          <w:color w:val="000000"/>
          <w:kern w:val="36"/>
          <w:sz w:val="36"/>
          <w:szCs w:val="36"/>
          <w:lang w:eastAsia="cs-CZ"/>
        </w:rPr>
        <w:t>Žáci: Morašice/Horní Újezd – Moravská Třebová „B“ 0:6 (0:2)</w:t>
      </w:r>
    </w:p>
    <w:p w:rsidR="00162108" w:rsidRPr="00162108" w:rsidRDefault="00162108" w:rsidP="00162108">
      <w:pPr>
        <w:shd w:val="clear" w:color="auto" w:fill="FFFFFF"/>
        <w:spacing w:after="0" w:line="480" w:lineRule="atLeast"/>
        <w:rPr>
          <w:rFonts w:ascii="Helvetica" w:eastAsia="Times New Roman" w:hAnsi="Helvetica" w:cs="Helvetica"/>
          <w:color w:val="000000"/>
          <w:sz w:val="20"/>
          <w:szCs w:val="20"/>
          <w:lang w:eastAsia="cs-CZ"/>
        </w:rPr>
      </w:pPr>
      <w:r w:rsidRPr="00162108">
        <w:rPr>
          <w:rFonts w:ascii="Helvetica" w:eastAsia="Times New Roman" w:hAnsi="Helvetica" w:cs="Helvetica"/>
          <w:b/>
          <w:bCs/>
          <w:color w:val="000000"/>
          <w:sz w:val="15"/>
          <w:szCs w:val="15"/>
          <w:lang w:eastAsia="cs-CZ"/>
        </w:rPr>
        <w:t>27.8.2017</w:t>
      </w:r>
      <w:r w:rsidRPr="00162108">
        <w:rPr>
          <w:rFonts w:ascii="Helvetica" w:eastAsia="Times New Roman" w:hAnsi="Helvetica" w:cs="Helvetica"/>
          <w:b/>
          <w:bCs/>
          <w:color w:val="000000"/>
          <w:sz w:val="15"/>
          <w:szCs w:val="15"/>
          <w:lang w:eastAsia="cs-CZ"/>
        </w:rPr>
        <w:br/>
      </w:r>
    </w:p>
    <w:p w:rsidR="00162108" w:rsidRPr="00162108" w:rsidRDefault="00162108" w:rsidP="00162108">
      <w:pPr>
        <w:shd w:val="clear" w:color="auto" w:fill="FFFFFF"/>
        <w:spacing w:after="360" w:line="240" w:lineRule="auto"/>
        <w:rPr>
          <w:rFonts w:ascii="Helvetica" w:eastAsia="Times New Roman" w:hAnsi="Helvetica" w:cs="Helvetica"/>
          <w:color w:val="000000"/>
          <w:sz w:val="20"/>
          <w:szCs w:val="20"/>
          <w:lang w:eastAsia="cs-CZ"/>
        </w:rPr>
      </w:pPr>
      <w:r w:rsidRPr="00162108">
        <w:rPr>
          <w:rFonts w:ascii="Helvetica" w:eastAsia="Times New Roman" w:hAnsi="Helvetica" w:cs="Helvetica"/>
          <w:b/>
          <w:bCs/>
          <w:color w:val="000000"/>
          <w:sz w:val="20"/>
          <w:szCs w:val="20"/>
          <w:lang w:eastAsia="cs-CZ"/>
        </w:rPr>
        <w:t>Hráli:</w:t>
      </w:r>
      <w:r w:rsidRPr="00162108">
        <w:rPr>
          <w:rFonts w:ascii="Helvetica" w:eastAsia="Times New Roman" w:hAnsi="Helvetica" w:cs="Helvetica"/>
          <w:color w:val="000000"/>
          <w:sz w:val="20"/>
          <w:szCs w:val="20"/>
          <w:lang w:eastAsia="cs-CZ"/>
        </w:rPr>
        <w:t xml:space="preserve"> Svatoš J. – </w:t>
      </w:r>
      <w:proofErr w:type="spellStart"/>
      <w:r w:rsidRPr="00162108">
        <w:rPr>
          <w:rFonts w:ascii="Helvetica" w:eastAsia="Times New Roman" w:hAnsi="Helvetica" w:cs="Helvetica"/>
          <w:color w:val="000000"/>
          <w:sz w:val="20"/>
          <w:szCs w:val="20"/>
          <w:lang w:eastAsia="cs-CZ"/>
        </w:rPr>
        <w:t>Briol</w:t>
      </w:r>
      <w:proofErr w:type="spellEnd"/>
      <w:r w:rsidRPr="00162108">
        <w:rPr>
          <w:rFonts w:ascii="Helvetica" w:eastAsia="Times New Roman" w:hAnsi="Helvetica" w:cs="Helvetica"/>
          <w:color w:val="000000"/>
          <w:sz w:val="20"/>
          <w:szCs w:val="20"/>
          <w:lang w:eastAsia="cs-CZ"/>
        </w:rPr>
        <w:t xml:space="preserve"> T., Klimeš P., Jána J., Kazda P., Kusý R., Kusý J., Chadimová E., Záruba D., </w:t>
      </w:r>
      <w:proofErr w:type="spellStart"/>
      <w:r w:rsidRPr="00162108">
        <w:rPr>
          <w:rFonts w:ascii="Helvetica" w:eastAsia="Times New Roman" w:hAnsi="Helvetica" w:cs="Helvetica"/>
          <w:color w:val="000000"/>
          <w:sz w:val="20"/>
          <w:szCs w:val="20"/>
          <w:lang w:eastAsia="cs-CZ"/>
        </w:rPr>
        <w:t>Huryta</w:t>
      </w:r>
      <w:proofErr w:type="spellEnd"/>
      <w:r w:rsidRPr="00162108">
        <w:rPr>
          <w:rFonts w:ascii="Helvetica" w:eastAsia="Times New Roman" w:hAnsi="Helvetica" w:cs="Helvetica"/>
          <w:color w:val="000000"/>
          <w:sz w:val="20"/>
          <w:szCs w:val="20"/>
          <w:lang w:eastAsia="cs-CZ"/>
        </w:rPr>
        <w:t xml:space="preserve"> T., Lněnička Š., </w:t>
      </w:r>
      <w:proofErr w:type="spellStart"/>
      <w:r w:rsidRPr="00162108">
        <w:rPr>
          <w:rFonts w:ascii="Helvetica" w:eastAsia="Times New Roman" w:hAnsi="Helvetica" w:cs="Helvetica"/>
          <w:color w:val="000000"/>
          <w:sz w:val="20"/>
          <w:szCs w:val="20"/>
          <w:lang w:eastAsia="cs-CZ"/>
        </w:rPr>
        <w:t>Vomočil</w:t>
      </w:r>
      <w:proofErr w:type="spellEnd"/>
      <w:r w:rsidRPr="00162108">
        <w:rPr>
          <w:rFonts w:ascii="Helvetica" w:eastAsia="Times New Roman" w:hAnsi="Helvetica" w:cs="Helvetica"/>
          <w:color w:val="000000"/>
          <w:sz w:val="20"/>
          <w:szCs w:val="20"/>
          <w:lang w:eastAsia="cs-CZ"/>
        </w:rPr>
        <w:t xml:space="preserve"> D., Mach V., </w:t>
      </w:r>
      <w:proofErr w:type="spellStart"/>
      <w:r w:rsidRPr="00162108">
        <w:rPr>
          <w:rFonts w:ascii="Helvetica" w:eastAsia="Times New Roman" w:hAnsi="Helvetica" w:cs="Helvetica"/>
          <w:color w:val="000000"/>
          <w:sz w:val="20"/>
          <w:szCs w:val="20"/>
          <w:lang w:eastAsia="cs-CZ"/>
        </w:rPr>
        <w:t>Tmej</w:t>
      </w:r>
      <w:proofErr w:type="spellEnd"/>
      <w:r w:rsidRPr="00162108">
        <w:rPr>
          <w:rFonts w:ascii="Helvetica" w:eastAsia="Times New Roman" w:hAnsi="Helvetica" w:cs="Helvetica"/>
          <w:color w:val="000000"/>
          <w:sz w:val="20"/>
          <w:szCs w:val="20"/>
          <w:lang w:eastAsia="cs-CZ"/>
        </w:rPr>
        <w:t xml:space="preserve"> M., Kopecký M.</w:t>
      </w:r>
    </w:p>
    <w:p w:rsidR="00162108" w:rsidRPr="00162108" w:rsidRDefault="00162108" w:rsidP="00162108">
      <w:pPr>
        <w:shd w:val="clear" w:color="auto" w:fill="FFFFFF"/>
        <w:spacing w:after="360" w:line="240" w:lineRule="auto"/>
        <w:rPr>
          <w:rFonts w:ascii="Helvetica" w:eastAsia="Times New Roman" w:hAnsi="Helvetica" w:cs="Helvetica"/>
          <w:color w:val="000000"/>
          <w:sz w:val="20"/>
          <w:szCs w:val="20"/>
          <w:lang w:eastAsia="cs-CZ"/>
        </w:rPr>
      </w:pPr>
      <w:r w:rsidRPr="00162108">
        <w:rPr>
          <w:rFonts w:ascii="Helvetica" w:eastAsia="Times New Roman" w:hAnsi="Helvetica" w:cs="Helvetica"/>
          <w:b/>
          <w:bCs/>
          <w:color w:val="000000"/>
          <w:sz w:val="20"/>
          <w:szCs w:val="20"/>
          <w:lang w:eastAsia="cs-CZ"/>
        </w:rPr>
        <w:t>Rozhodčí:</w:t>
      </w:r>
      <w:r w:rsidRPr="00162108">
        <w:rPr>
          <w:rFonts w:ascii="Helvetica" w:eastAsia="Times New Roman" w:hAnsi="Helvetica" w:cs="Helvetica"/>
          <w:color w:val="000000"/>
          <w:sz w:val="20"/>
          <w:szCs w:val="20"/>
          <w:lang w:eastAsia="cs-CZ"/>
        </w:rPr>
        <w:t> Rožek F. – Lněnička P., Janeček M.</w:t>
      </w:r>
    </w:p>
    <w:p w:rsidR="00162108" w:rsidRPr="00162108" w:rsidRDefault="00162108" w:rsidP="00162108">
      <w:pPr>
        <w:shd w:val="clear" w:color="auto" w:fill="FFFFFF"/>
        <w:spacing w:after="360" w:line="240" w:lineRule="auto"/>
        <w:rPr>
          <w:rFonts w:ascii="Helvetica" w:eastAsia="Times New Roman" w:hAnsi="Helvetica" w:cs="Helvetica"/>
          <w:color w:val="000000"/>
          <w:sz w:val="20"/>
          <w:szCs w:val="20"/>
          <w:lang w:eastAsia="cs-CZ"/>
        </w:rPr>
      </w:pPr>
      <w:r w:rsidRPr="00162108">
        <w:rPr>
          <w:rFonts w:ascii="Helvetica" w:eastAsia="Times New Roman" w:hAnsi="Helvetica" w:cs="Helvetica"/>
          <w:color w:val="000000"/>
          <w:sz w:val="20"/>
          <w:szCs w:val="20"/>
          <w:lang w:eastAsia="cs-CZ"/>
        </w:rPr>
        <w:t xml:space="preserve">Do nové sezóny jsme díky dobré spolupráci v mládežnických kategoriích s oddílem z Morašic přihlásili žákovské </w:t>
      </w:r>
      <w:proofErr w:type="spellStart"/>
      <w:r w:rsidRPr="00162108">
        <w:rPr>
          <w:rFonts w:ascii="Helvetica" w:eastAsia="Times New Roman" w:hAnsi="Helvetica" w:cs="Helvetica"/>
          <w:color w:val="000000"/>
          <w:sz w:val="20"/>
          <w:szCs w:val="20"/>
          <w:lang w:eastAsia="cs-CZ"/>
        </w:rPr>
        <w:t>souklubí</w:t>
      </w:r>
      <w:proofErr w:type="spellEnd"/>
      <w:r w:rsidRPr="00162108">
        <w:rPr>
          <w:rFonts w:ascii="Helvetica" w:eastAsia="Times New Roman" w:hAnsi="Helvetica" w:cs="Helvetica"/>
          <w:color w:val="000000"/>
          <w:sz w:val="20"/>
          <w:szCs w:val="20"/>
          <w:lang w:eastAsia="cs-CZ"/>
        </w:rPr>
        <w:t xml:space="preserve"> Morašice/Horní Újezd. To působí v okresním přeboru žáků 8+1. Hraje se od vápna k vápnu na celou šířku hřiště. Za náš oddíl tým vede Pavel Beneš, v Morašicích Zdeněk Krejsa a Martin Štancl.</w:t>
      </w:r>
    </w:p>
    <w:p w:rsidR="00162108" w:rsidRPr="00162108" w:rsidRDefault="00162108" w:rsidP="00162108">
      <w:pPr>
        <w:shd w:val="clear" w:color="auto" w:fill="FFFFFF"/>
        <w:spacing w:after="360" w:line="240" w:lineRule="auto"/>
        <w:rPr>
          <w:rFonts w:ascii="Helvetica" w:eastAsia="Times New Roman" w:hAnsi="Helvetica" w:cs="Helvetica"/>
          <w:color w:val="000000"/>
          <w:sz w:val="20"/>
          <w:szCs w:val="20"/>
          <w:lang w:eastAsia="cs-CZ"/>
        </w:rPr>
      </w:pPr>
      <w:r w:rsidRPr="00162108">
        <w:rPr>
          <w:rFonts w:ascii="Helvetica" w:eastAsia="Times New Roman" w:hAnsi="Helvetica" w:cs="Helvetica"/>
          <w:color w:val="000000"/>
          <w:sz w:val="20"/>
          <w:szCs w:val="20"/>
          <w:lang w:eastAsia="cs-CZ"/>
        </w:rPr>
        <w:t xml:space="preserve">Úvodní zápas jsme odehráli v Morašicích proti rezervě Moravské Třebové. V prvním poločase jsme ještě celkem dokázali držet se soupeřem krok, i když podstatně víc vzruchu bylo před naší brankou. Druhý poločas se hrál už pod taktovkou soupeře ze západní Moravy, který na hřišti dominoval. Jejich hru řídil kapitán béčka (i áčka) Pavel </w:t>
      </w:r>
      <w:proofErr w:type="spellStart"/>
      <w:r w:rsidRPr="00162108">
        <w:rPr>
          <w:rFonts w:ascii="Helvetica" w:eastAsia="Times New Roman" w:hAnsi="Helvetica" w:cs="Helvetica"/>
          <w:color w:val="000000"/>
          <w:sz w:val="20"/>
          <w:szCs w:val="20"/>
          <w:lang w:eastAsia="cs-CZ"/>
        </w:rPr>
        <w:t>Lexman</w:t>
      </w:r>
      <w:proofErr w:type="spellEnd"/>
      <w:r w:rsidRPr="00162108">
        <w:rPr>
          <w:rFonts w:ascii="Helvetica" w:eastAsia="Times New Roman" w:hAnsi="Helvetica" w:cs="Helvetica"/>
          <w:color w:val="000000"/>
          <w:sz w:val="20"/>
          <w:szCs w:val="20"/>
          <w:lang w:eastAsia="cs-CZ"/>
        </w:rPr>
        <w:t>. Několikrát nás zachránilo břevno nebo zákroky Jiřího Svatoše v brance. V ofenzivní činnosti nejvíce provětrával obranu Moravské Třebové Jiří Jána.</w:t>
      </w:r>
    </w:p>
    <w:p w:rsidR="00162108" w:rsidRPr="00162108" w:rsidRDefault="00162108" w:rsidP="00162108">
      <w:pPr>
        <w:shd w:val="clear" w:color="auto" w:fill="FFFFFF"/>
        <w:spacing w:after="360" w:line="240" w:lineRule="auto"/>
        <w:rPr>
          <w:rFonts w:ascii="Helvetica" w:eastAsia="Times New Roman" w:hAnsi="Helvetica" w:cs="Helvetica"/>
          <w:color w:val="000000"/>
          <w:sz w:val="20"/>
          <w:szCs w:val="20"/>
          <w:lang w:eastAsia="cs-CZ"/>
        </w:rPr>
      </w:pPr>
      <w:r w:rsidRPr="00162108">
        <w:rPr>
          <w:rFonts w:ascii="Helvetica" w:eastAsia="Times New Roman" w:hAnsi="Helvetica" w:cs="Helvetica"/>
          <w:color w:val="000000"/>
          <w:sz w:val="20"/>
          <w:szCs w:val="20"/>
          <w:lang w:eastAsia="cs-CZ"/>
        </w:rPr>
        <w:t xml:space="preserve">Především pro naše (teď myšleno </w:t>
      </w:r>
      <w:proofErr w:type="spellStart"/>
      <w:r w:rsidRPr="00162108">
        <w:rPr>
          <w:rFonts w:ascii="Helvetica" w:eastAsia="Times New Roman" w:hAnsi="Helvetica" w:cs="Helvetica"/>
          <w:color w:val="000000"/>
          <w:sz w:val="20"/>
          <w:szCs w:val="20"/>
          <w:lang w:eastAsia="cs-CZ"/>
        </w:rPr>
        <w:t>hornoújezdské</w:t>
      </w:r>
      <w:proofErr w:type="spellEnd"/>
      <w:r w:rsidRPr="00162108">
        <w:rPr>
          <w:rFonts w:ascii="Helvetica" w:eastAsia="Times New Roman" w:hAnsi="Helvetica" w:cs="Helvetica"/>
          <w:color w:val="000000"/>
          <w:sz w:val="20"/>
          <w:szCs w:val="20"/>
          <w:lang w:eastAsia="cs-CZ"/>
        </w:rPr>
        <w:t>) hráče bylo toto utkání prvním seznámením se s velkým fotbalem. Hráči ročníku 2003, 2004 a 2005 dlouho žádný mistrovský zápas nehráli, hráči, kteří přišli ze starší přípravky, ještě na jaře hráli na čtvrtinu hřiště. Příští týden se náš tým představí v sobotu 2.9. od 10:00 v Hradci nad Svitavou.</w:t>
      </w:r>
    </w:p>
    <w:p w:rsidR="00162108" w:rsidRPr="00162108" w:rsidRDefault="00162108" w:rsidP="00162108">
      <w:pPr>
        <w:shd w:val="clear" w:color="auto" w:fill="FFFFFF"/>
        <w:spacing w:after="360" w:line="240" w:lineRule="auto"/>
        <w:rPr>
          <w:rFonts w:ascii="Helvetica" w:eastAsia="Times New Roman" w:hAnsi="Helvetica" w:cs="Helvetica"/>
          <w:color w:val="000000"/>
          <w:sz w:val="20"/>
          <w:szCs w:val="20"/>
          <w:lang w:eastAsia="cs-CZ"/>
        </w:rPr>
      </w:pPr>
      <w:r w:rsidRPr="00162108">
        <w:rPr>
          <w:rFonts w:ascii="Helvetica" w:eastAsia="Times New Roman" w:hAnsi="Helvetica" w:cs="Helvetica"/>
          <w:i/>
          <w:iCs/>
          <w:color w:val="000000"/>
          <w:sz w:val="20"/>
          <w:szCs w:val="20"/>
          <w:lang w:eastAsia="cs-CZ"/>
        </w:rPr>
        <w:t>Sekretář</w:t>
      </w:r>
      <w:r w:rsidRPr="00162108">
        <w:rPr>
          <w:rFonts w:ascii="Helvetica" w:eastAsia="Times New Roman" w:hAnsi="Helvetica" w:cs="Helvetica"/>
          <w:color w:val="000000"/>
          <w:sz w:val="20"/>
          <w:szCs w:val="20"/>
          <w:lang w:eastAsia="cs-CZ"/>
        </w:rPr>
        <w:t>   </w:t>
      </w:r>
    </w:p>
    <w:tbl>
      <w:tblPr>
        <w:tblW w:w="8760" w:type="dxa"/>
        <w:shd w:val="clear" w:color="auto" w:fill="FFFFFF"/>
        <w:tblCellMar>
          <w:top w:w="15" w:type="dxa"/>
          <w:left w:w="15" w:type="dxa"/>
          <w:bottom w:w="15" w:type="dxa"/>
          <w:right w:w="15" w:type="dxa"/>
        </w:tblCellMar>
        <w:tblLook w:val="04A0" w:firstRow="1" w:lastRow="0" w:firstColumn="1" w:lastColumn="0" w:noHBand="0" w:noVBand="1"/>
      </w:tblPr>
      <w:tblGrid>
        <w:gridCol w:w="829"/>
        <w:gridCol w:w="2647"/>
        <w:gridCol w:w="974"/>
        <w:gridCol w:w="703"/>
        <w:gridCol w:w="543"/>
        <w:gridCol w:w="703"/>
        <w:gridCol w:w="1261"/>
        <w:gridCol w:w="1100"/>
      </w:tblGrid>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bookmarkStart w:id="0" w:name="_GoBack"/>
            <w:proofErr w:type="spellStart"/>
            <w:r w:rsidRPr="00D24130">
              <w:rPr>
                <w:rFonts w:ascii="Helvetica" w:eastAsia="Times New Roman" w:hAnsi="Helvetica" w:cs="Helvetica"/>
                <w:b/>
                <w:color w:val="000000"/>
                <w:sz w:val="18"/>
                <w:szCs w:val="18"/>
                <w:lang w:eastAsia="cs-CZ"/>
              </w:rPr>
              <w:t>Rk</w:t>
            </w:r>
            <w:proofErr w:type="spellEnd"/>
            <w:r w:rsidRPr="00D24130">
              <w:rPr>
                <w:rFonts w:ascii="Helvetica" w:eastAsia="Times New Roman" w:hAnsi="Helvetica" w:cs="Helvetica"/>
                <w:b/>
                <w:color w:val="000000"/>
                <w:sz w:val="18"/>
                <w:szCs w:val="18"/>
                <w:lang w:eastAsia="cs-CZ"/>
              </w:rPr>
              <w:t>.</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r w:rsidRPr="00D24130">
              <w:rPr>
                <w:rFonts w:ascii="Helvetica" w:eastAsia="Times New Roman" w:hAnsi="Helvetica" w:cs="Helvetica"/>
                <w:b/>
                <w:color w:val="000000"/>
                <w:sz w:val="18"/>
                <w:szCs w:val="18"/>
                <w:lang w:eastAsia="cs-CZ"/>
              </w:rPr>
              <w:t>Družstvo</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r w:rsidRPr="00D24130">
              <w:rPr>
                <w:rFonts w:ascii="Helvetica" w:eastAsia="Times New Roman" w:hAnsi="Helvetica" w:cs="Helvetica"/>
                <w:b/>
                <w:color w:val="000000"/>
                <w:sz w:val="18"/>
                <w:szCs w:val="18"/>
                <w:lang w:eastAsia="cs-CZ"/>
              </w:rPr>
              <w:t>Záp.</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r w:rsidRPr="00D24130">
              <w:rPr>
                <w:rFonts w:ascii="Helvetica" w:eastAsia="Times New Roman" w:hAnsi="Helvetica" w:cs="Helvetica"/>
                <w:b/>
                <w:color w:val="000000"/>
                <w:sz w:val="18"/>
                <w:szCs w:val="18"/>
                <w:lang w:eastAsia="cs-CZ"/>
              </w:rPr>
              <w:t>+</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r w:rsidRPr="00D24130">
              <w:rPr>
                <w:rFonts w:ascii="Helvetica" w:eastAsia="Times New Roman" w:hAnsi="Helvetica" w:cs="Helvetica"/>
                <w:b/>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r w:rsidRPr="00D24130">
              <w:rPr>
                <w:rFonts w:ascii="Helvetica" w:eastAsia="Times New Roman" w:hAnsi="Helvetica" w:cs="Helvetica"/>
                <w:b/>
                <w:color w:val="000000"/>
                <w:sz w:val="18"/>
                <w:szCs w:val="18"/>
                <w:lang w:eastAsia="cs-CZ"/>
              </w:rPr>
              <w:t>–</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r w:rsidRPr="00D24130">
              <w:rPr>
                <w:rFonts w:ascii="Helvetica" w:eastAsia="Times New Roman" w:hAnsi="Helvetica" w:cs="Helvetica"/>
                <w:b/>
                <w:color w:val="000000"/>
                <w:sz w:val="18"/>
                <w:szCs w:val="18"/>
                <w:lang w:eastAsia="cs-CZ"/>
              </w:rPr>
              <w:t>Skóre</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b/>
                <w:color w:val="000000"/>
                <w:sz w:val="18"/>
                <w:szCs w:val="18"/>
                <w:lang w:eastAsia="cs-CZ"/>
              </w:rPr>
            </w:pPr>
            <w:r w:rsidRPr="00D24130">
              <w:rPr>
                <w:rFonts w:ascii="Helvetica" w:eastAsia="Times New Roman" w:hAnsi="Helvetica" w:cs="Helvetica"/>
                <w:b/>
                <w:color w:val="000000"/>
                <w:sz w:val="18"/>
                <w:szCs w:val="18"/>
                <w:lang w:eastAsia="cs-CZ"/>
              </w:rPr>
              <w:t>Body</w:t>
            </w:r>
          </w:p>
        </w:tc>
      </w:tr>
      <w:bookmarkEnd w:id="0"/>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Jaroměřice</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23</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178:16</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69</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Březová</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132:25</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61</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Pomezí</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18</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129:24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56</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Dolní Újezd</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16</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115:48</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48</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5</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M. Trnávka</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92:65</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43</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Mor. Třebová B</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77:50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43</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7</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Opatov</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95:72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38</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Kunčina/Mladějov</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57:82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28</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lastRenderedPageBreak/>
              <w:t>9</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Sebranice</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15</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51:90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27</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Morašice/</w:t>
            </w:r>
            <w:proofErr w:type="spellStart"/>
            <w:r w:rsidRPr="00D24130">
              <w:rPr>
                <w:rFonts w:ascii="Helvetica" w:eastAsia="Times New Roman" w:hAnsi="Helvetica" w:cs="Helvetica"/>
                <w:color w:val="000000"/>
                <w:sz w:val="18"/>
                <w:szCs w:val="18"/>
                <w:lang w:eastAsia="cs-CZ"/>
              </w:rPr>
              <w:t>H.Újezd</w:t>
            </w:r>
            <w:proofErr w:type="spellEnd"/>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7</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16</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55:84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22</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Němčice</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17</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40:104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19</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Hradec n. S.</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21</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29:164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9</w:t>
            </w:r>
          </w:p>
        </w:tc>
      </w:tr>
      <w:tr w:rsidR="00D24130" w:rsidRPr="00D24130" w:rsidTr="00D24130">
        <w:trPr>
          <w:trHeight w:val="375"/>
        </w:trPr>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13</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Křenov</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24</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6:232</w:t>
            </w:r>
          </w:p>
        </w:tc>
        <w:tc>
          <w:tcPr>
            <w:tcW w:w="0" w:type="auto"/>
            <w:shd w:val="clear" w:color="auto" w:fill="FFFFFF"/>
            <w:tcMar>
              <w:top w:w="120" w:type="dxa"/>
              <w:left w:w="120" w:type="dxa"/>
              <w:bottom w:w="120" w:type="dxa"/>
              <w:right w:w="120" w:type="dxa"/>
            </w:tcMar>
            <w:vAlign w:val="center"/>
            <w:hideMark/>
          </w:tcPr>
          <w:p w:rsidR="00D24130" w:rsidRPr="00D24130" w:rsidRDefault="00D24130" w:rsidP="00D24130">
            <w:pPr>
              <w:spacing w:after="0" w:line="375" w:lineRule="atLeast"/>
              <w:rPr>
                <w:rFonts w:ascii="Helvetica" w:eastAsia="Times New Roman" w:hAnsi="Helvetica" w:cs="Helvetica"/>
                <w:color w:val="000000"/>
                <w:sz w:val="18"/>
                <w:szCs w:val="18"/>
                <w:lang w:eastAsia="cs-CZ"/>
              </w:rPr>
            </w:pPr>
            <w:r w:rsidRPr="00D24130">
              <w:rPr>
                <w:rFonts w:ascii="Helvetica" w:eastAsia="Times New Roman" w:hAnsi="Helvetica" w:cs="Helvetica"/>
                <w:color w:val="000000"/>
                <w:sz w:val="18"/>
                <w:szCs w:val="18"/>
                <w:lang w:eastAsia="cs-CZ"/>
              </w:rPr>
              <w:t>0</w:t>
            </w:r>
          </w:p>
        </w:tc>
      </w:tr>
    </w:tbl>
    <w:p w:rsidR="00CD2BF0" w:rsidRDefault="00E2209B"/>
    <w:sectPr w:rsidR="00CD2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87"/>
    <w:rsid w:val="00162108"/>
    <w:rsid w:val="008A1C3F"/>
    <w:rsid w:val="009C5AFC"/>
    <w:rsid w:val="00BD394A"/>
    <w:rsid w:val="00D24130"/>
    <w:rsid w:val="00E2209B"/>
    <w:rsid w:val="00EA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94F97-D7A8-4A32-AC8C-CE3D535E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162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2108"/>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162108"/>
  </w:style>
  <w:style w:type="paragraph" w:styleId="Normlnweb">
    <w:name w:val="Normal (Web)"/>
    <w:basedOn w:val="Normln"/>
    <w:uiPriority w:val="99"/>
    <w:semiHidden/>
    <w:unhideWhenUsed/>
    <w:rsid w:val="0016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2108"/>
    <w:rPr>
      <w:b/>
      <w:bCs/>
    </w:rPr>
  </w:style>
  <w:style w:type="character" w:styleId="Zdraznn">
    <w:name w:val="Emphasis"/>
    <w:basedOn w:val="Standardnpsmoodstavce"/>
    <w:uiPriority w:val="20"/>
    <w:qFormat/>
    <w:rsid w:val="00162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389737">
      <w:bodyDiv w:val="1"/>
      <w:marLeft w:val="0"/>
      <w:marRight w:val="0"/>
      <w:marTop w:val="0"/>
      <w:marBottom w:val="0"/>
      <w:divBdr>
        <w:top w:val="none" w:sz="0" w:space="0" w:color="auto"/>
        <w:left w:val="none" w:sz="0" w:space="0" w:color="auto"/>
        <w:bottom w:val="none" w:sz="0" w:space="0" w:color="auto"/>
        <w:right w:val="none" w:sz="0" w:space="0" w:color="auto"/>
      </w:divBdr>
      <w:divsChild>
        <w:div w:id="123160201">
          <w:marLeft w:val="0"/>
          <w:marRight w:val="0"/>
          <w:marTop w:val="0"/>
          <w:marBottom w:val="0"/>
          <w:divBdr>
            <w:top w:val="none" w:sz="0" w:space="0" w:color="auto"/>
            <w:left w:val="none" w:sz="0" w:space="0" w:color="auto"/>
            <w:bottom w:val="none" w:sz="0" w:space="0" w:color="auto"/>
            <w:right w:val="none" w:sz="0" w:space="0" w:color="auto"/>
          </w:divBdr>
        </w:div>
        <w:div w:id="482939173">
          <w:marLeft w:val="0"/>
          <w:marRight w:val="0"/>
          <w:marTop w:val="0"/>
          <w:marBottom w:val="0"/>
          <w:divBdr>
            <w:top w:val="none" w:sz="0" w:space="0" w:color="auto"/>
            <w:left w:val="none" w:sz="0" w:space="0" w:color="auto"/>
            <w:bottom w:val="none" w:sz="0" w:space="0" w:color="auto"/>
            <w:right w:val="none" w:sz="0" w:space="0" w:color="auto"/>
          </w:divBdr>
          <w:divsChild>
            <w:div w:id="1204366386">
              <w:marLeft w:val="0"/>
              <w:marRight w:val="0"/>
              <w:marTop w:val="0"/>
              <w:marBottom w:val="0"/>
              <w:divBdr>
                <w:top w:val="none" w:sz="0" w:space="0" w:color="auto"/>
                <w:left w:val="none" w:sz="0" w:space="0" w:color="auto"/>
                <w:bottom w:val="none" w:sz="0" w:space="0" w:color="auto"/>
                <w:right w:val="none" w:sz="0" w:space="0" w:color="auto"/>
              </w:divBdr>
              <w:divsChild>
                <w:div w:id="1599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1632</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4</cp:revision>
  <dcterms:created xsi:type="dcterms:W3CDTF">2018-02-04T16:30:00Z</dcterms:created>
  <dcterms:modified xsi:type="dcterms:W3CDTF">2018-06-26T15:27:00Z</dcterms:modified>
</cp:coreProperties>
</file>